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236"/>
        <w:gridCol w:w="9952"/>
      </w:tblGrid>
      <w:tr w:rsidR="00593393" w:rsidRPr="00342B41" w:rsidTr="00607205">
        <w:trPr>
          <w:trHeight w:val="440"/>
        </w:trPr>
        <w:tc>
          <w:tcPr>
            <w:tcW w:w="116" w:type="pct"/>
          </w:tcPr>
          <w:p w:rsidR="00593393" w:rsidRPr="00342B41" w:rsidRDefault="00593393" w:rsidP="00607205">
            <w:pPr>
              <w:snapToGrid w:val="0"/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84" w:type="pct"/>
          </w:tcPr>
          <w:p w:rsidR="0039142B" w:rsidRPr="008B2080" w:rsidRDefault="0037162F" w:rsidP="00607205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hyperlink r:id="rId7" w:history="1">
              <w:r w:rsidR="00593393" w:rsidRPr="008B2080">
                <w:rPr>
                  <w:rFonts w:ascii="標楷體" w:eastAsia="標楷體" w:hAnsi="標楷體" w:cs="新細明體"/>
                  <w:b/>
                  <w:sz w:val="40"/>
                  <w:szCs w:val="40"/>
                </w:rPr>
                <w:t>強迫入學條例</w:t>
              </w:r>
            </w:hyperlink>
          </w:p>
          <w:p w:rsidR="00BA47C5" w:rsidRDefault="0039142B" w:rsidP="00607205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</w:t>
            </w:r>
            <w:r w:rsidR="00BA2956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</w:t>
            </w:r>
            <w:r w:rsidR="00593393" w:rsidRPr="00BA47C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593393" w:rsidRPr="00BA47C5">
              <w:rPr>
                <w:rFonts w:ascii="標楷體" w:eastAsia="標楷體" w:hAnsi="標楷體" w:cs="新細明體"/>
                <w:sz w:val="24"/>
                <w:szCs w:val="24"/>
              </w:rPr>
              <w:t>民國</w:t>
            </w:r>
            <w:r w:rsidR="004C355A">
              <w:rPr>
                <w:rFonts w:ascii="標楷體" w:eastAsia="標楷體" w:hAnsi="標楷體" w:cs="新細明體" w:hint="eastAsia"/>
                <w:sz w:val="24"/>
                <w:szCs w:val="24"/>
              </w:rPr>
              <w:t>100</w:t>
            </w:r>
            <w:r w:rsidR="00593393" w:rsidRPr="00BA47C5">
              <w:rPr>
                <w:rFonts w:ascii="標楷體" w:eastAsia="標楷體" w:hAnsi="標楷體" w:cs="新細明體"/>
                <w:sz w:val="24"/>
                <w:szCs w:val="24"/>
              </w:rPr>
              <w:t>年</w:t>
            </w:r>
            <w:r w:rsidR="00593393" w:rsidRPr="00BA47C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4C355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593393" w:rsidRPr="00BA47C5">
              <w:rPr>
                <w:rFonts w:ascii="標楷體" w:eastAsia="標楷體" w:hAnsi="標楷體" w:cs="新細明體"/>
                <w:sz w:val="24"/>
                <w:szCs w:val="24"/>
              </w:rPr>
              <w:t>月</w:t>
            </w:r>
            <w:r w:rsidR="004C355A">
              <w:rPr>
                <w:rFonts w:ascii="標楷體" w:eastAsia="標楷體" w:hAnsi="標楷體" w:cs="新細明體" w:hint="eastAsia"/>
                <w:sz w:val="24"/>
                <w:szCs w:val="24"/>
              </w:rPr>
              <w:t>30</w:t>
            </w:r>
            <w:r w:rsidR="00593393" w:rsidRPr="00BA47C5">
              <w:rPr>
                <w:rFonts w:ascii="標楷體" w:eastAsia="標楷體" w:hAnsi="標楷體" w:cs="新細明體"/>
                <w:sz w:val="24"/>
                <w:szCs w:val="24"/>
              </w:rPr>
              <w:t>日修正</w:t>
            </w:r>
            <w:r w:rsidR="00593393" w:rsidRPr="00BA47C5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tbl>
            <w:tblPr>
              <w:tblW w:w="982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"/>
              <w:gridCol w:w="50"/>
              <w:gridCol w:w="8787"/>
            </w:tblGrid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8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本條例依國民教育法第二條第二項規定制定之。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9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2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11688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ind w:rightChars="57" w:right="125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六歲至十五歲國民 (以下稱適齡國民) 之強迫入學，依本條例之規定。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0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3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直轄市、縣（市）為辦理強迫入學事宜，設直轄市、縣（市）強迫入學委員會，由直轄市、縣（市）長、教育、民政、財政、主計、警政、社政等單位主管及鄉（鎮、市、區）長組織之；以直轄市、縣（市）長為主任委員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1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4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鄉（鎮、市、區）為辦理強迫入學事宜，</w:t>
                  </w:r>
                  <w:proofErr w:type="gramStart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設鄉</w:t>
                  </w:r>
                  <w:proofErr w:type="gramEnd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（鎮、市、區）強迫入學委員會，由鄉（鎮、市、區）長、民政、財政、戶政、衛生、社政等單位主管及國民中、小學校長組織之；以鄉（鎮、市、區）長為主任委員。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2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5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鄉 (鎮、市、區) 強迫入學委員會，負責宣導及督促本鄉 (鎮、市、區)適齡國民入學。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3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6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適齡國民之父母或監護人有督促子女或受監護人入學之義務，並配合學校實施家庭教育；收容或受託監護適齡國民之機構或個人，亦同。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4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7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六歲應入國民小學之國民，由當地戶政機關於每年五月底前調查造冊，送經主管教育行政機關於六月十五日前依學區分發，並由鄉 (鎮、市、區)公所於七月十五日前按學區通知入學。</w:t>
                  </w:r>
                </w:p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前項所定之調查造冊，必要時戶政機關得協調當地國民小學協助辦理。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5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8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國民小學應於每年五月底前，</w:t>
                  </w:r>
                  <w:proofErr w:type="gramStart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造具當年度</w:t>
                  </w:r>
                  <w:proofErr w:type="gramEnd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畢業生名冊，報請主管教育行政機關辦理分發，並於七月十五日前按學區通知入國民中學。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6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第8-1條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B702EB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4"/>
                      <w:szCs w:val="24"/>
                    </w:rPr>
                  </w:pPr>
                  <w:r w:rsidRPr="00B702EB">
                    <w:rPr>
                      <w:rFonts w:ascii="標楷體" w:eastAsia="標楷體" w:hAnsi="標楷體" w:cs="細明體" w:hint="eastAsia"/>
                      <w:sz w:val="24"/>
                      <w:szCs w:val="24"/>
                    </w:rPr>
                    <w:t>國民小學及國民中學發現學生有</w:t>
                  </w:r>
                  <w:r w:rsidRPr="00595A9B">
                    <w:rPr>
                      <w:rFonts w:ascii="標楷體" w:eastAsia="標楷體" w:hAnsi="標楷體" w:cs="細明體" w:hint="eastAsia"/>
                      <w:b/>
                      <w:sz w:val="24"/>
                      <w:szCs w:val="24"/>
                    </w:rPr>
                    <w:t>未經請假或不明原因未到校上課達三天以上，或轉學生未向轉入學校報到者，應通報主管教育行政機關</w:t>
                  </w:r>
                  <w:r w:rsidRPr="00B702EB">
                    <w:rPr>
                      <w:rFonts w:ascii="標楷體" w:eastAsia="標楷體" w:hAnsi="標楷體" w:cs="細明體" w:hint="eastAsia"/>
                      <w:sz w:val="24"/>
                      <w:szCs w:val="24"/>
                    </w:rPr>
                    <w:t>，並輔導其復學；其通報及復學輔導辦法，由教育部定之。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7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9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69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proofErr w:type="gramStart"/>
                  <w:r w:rsidRPr="00595A9B">
                    <w:rPr>
                      <w:rFonts w:ascii="標楷體" w:eastAsia="標楷體" w:hAnsi="標楷體" w:cs="細明體" w:hint="eastAsia"/>
                      <w:b/>
                      <w:sz w:val="24"/>
                      <w:szCs w:val="24"/>
                    </w:rPr>
                    <w:t>凡應入學</w:t>
                  </w:r>
                  <w:proofErr w:type="gramEnd"/>
                  <w:r w:rsidRPr="00595A9B">
                    <w:rPr>
                      <w:rFonts w:ascii="標楷體" w:eastAsia="標楷體" w:hAnsi="標楷體" w:cs="細明體" w:hint="eastAsia"/>
                      <w:b/>
                      <w:sz w:val="24"/>
                      <w:szCs w:val="24"/>
                    </w:rPr>
                    <w:t>而未入學、已入學而中途輟學或長期缺課之適齡國民，學校應報請鄉（鎮、市、區）強迫入學委員會派員作家庭訪問，勸告入學、復學</w:t>
                  </w: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；其因家庭清寒或家庭變故而不能入學、已入學而中途輟學或長期缺課者，報請當地直轄市、縣（市）政府，依社會福利法規或以特別救助方式協助解決其困難。</w:t>
                  </w:r>
                </w:p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前項適齡國民，除有第十二條、第十三條所定情形或有特殊原因經鄉（鎮、市、區）強迫入學委員會核准者外，其父母或監護人經勸告後仍不送入學、復學者，應由學校報請鄉（鎮、市、區）強迫入學委員會予以書面警告，並限期入學、復學。</w:t>
                  </w:r>
                </w:p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經警告並限期入學、復學，仍</w:t>
                  </w:r>
                  <w:proofErr w:type="gramStart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不</w:t>
                  </w:r>
                  <w:proofErr w:type="gramEnd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遵行者，由鄉（鎮、市、區）公所處</w:t>
                  </w:r>
                  <w:proofErr w:type="gramStart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一</w:t>
                  </w:r>
                  <w:proofErr w:type="gramEnd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百元以下罰鍰，並限期入學、復學；如未</w:t>
                  </w:r>
                  <w:proofErr w:type="gramStart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遵</w:t>
                  </w:r>
                  <w:proofErr w:type="gramEnd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限入學、復學，得繼續處罰至入學、復學為止。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8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10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70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（刪除）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19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11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70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依本條例規定所處罰鍰，逾期不繳者，移送法院強制執行。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20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12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70" w:type="pct"/>
                  <w:vAlign w:val="center"/>
                  <w:hideMark/>
                </w:tcPr>
                <w:p w:rsidR="004C355A" w:rsidRPr="00595A9B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適齡國民因殘障、疾病、發育不良、性格或行為異常，達到不能入學之程度，經公立醫療機構證明者，得</w:t>
                  </w:r>
                  <w:r w:rsidRPr="00595A9B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核定暫緩入學。但健康恢復後仍應入學。</w:t>
                  </w:r>
                </w:p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595A9B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適齡國民經公立醫療機構鑑定證明</w:t>
                  </w: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，確屬重度智能不足者，得免強迫入學。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21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13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70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身心障礙之適齡國民，應經直轄市及縣 (市) 主管教育行政機關特殊教育學生鑑定及就學輔導委員會鑑定後，安置入學實施特殊教育。但經鑑定確有暫緩入學之必要者，得予核定暫緩入學，</w:t>
                  </w:r>
                  <w:r w:rsidRPr="00595A9B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最長以一年為限，</w:t>
                  </w:r>
                  <w:proofErr w:type="gramStart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並應副知</w:t>
                  </w:r>
                  <w:proofErr w:type="gramEnd"/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鄉 (鎮、市、區) 強迫入學委員會。</w:t>
                  </w:r>
                </w:p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前項暫緩入學之核定基準、程序及其他相關事項之辦法，由直轄市、縣 (市) 主管教育行政機關定之。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22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14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70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偏遠地區，因路途遙遠無法當日往返上學之學生，學校應提供膳宿設備。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23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15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70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適齡國民隨同家庭遷移戶籍者，</w:t>
                  </w:r>
                  <w:r w:rsidRPr="00595A9B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由遷入地戶政機關以副</w:t>
                  </w: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本通知當地強迫入學委員會執行強迫入學或轉學事宜。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24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16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70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本條例施行細則由教育部定之。</w:t>
                  </w:r>
                </w:p>
              </w:tc>
            </w:tr>
            <w:tr w:rsidR="004C355A" w:rsidRPr="004C355A" w:rsidTr="0011688E">
              <w:tc>
                <w:tcPr>
                  <w:tcW w:w="505" w:type="pct"/>
                  <w:noWrap/>
                  <w:hideMark/>
                </w:tcPr>
                <w:p w:rsidR="004C355A" w:rsidRPr="004C355A" w:rsidRDefault="0037162F" w:rsidP="00607205">
                  <w:pPr>
                    <w:snapToGrid w:val="0"/>
                    <w:spacing w:after="0" w:line="240" w:lineRule="atLeast"/>
                    <w:jc w:val="both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  <w:hyperlink r:id="rId25" w:history="1">
                    <w:r w:rsidR="004C355A" w:rsidRPr="0011688E">
                      <w:rPr>
                        <w:rFonts w:ascii="標楷體" w:eastAsia="標楷體" w:hAnsi="標楷體" w:cs="新細明體"/>
                        <w:sz w:val="21"/>
                        <w:szCs w:val="21"/>
                        <w:u w:val="single"/>
                      </w:rPr>
                      <w:t>第 17 條</w:t>
                    </w:r>
                  </w:hyperlink>
                </w:p>
              </w:tc>
              <w:tc>
                <w:tcPr>
                  <w:tcW w:w="25" w:type="pct"/>
                  <w:vAlign w:val="center"/>
                  <w:hideMark/>
                </w:tcPr>
                <w:p w:rsidR="004C355A" w:rsidRPr="004C355A" w:rsidRDefault="004C355A" w:rsidP="00607205">
                  <w:pPr>
                    <w:snapToGrid w:val="0"/>
                    <w:spacing w:after="0" w:line="240" w:lineRule="atLeast"/>
                    <w:jc w:val="center"/>
                    <w:rPr>
                      <w:rFonts w:ascii="標楷體" w:eastAsia="標楷體" w:hAnsi="標楷體" w:cs="新細明體"/>
                      <w:sz w:val="21"/>
                      <w:szCs w:val="21"/>
                    </w:rPr>
                  </w:pPr>
                </w:p>
              </w:tc>
              <w:tc>
                <w:tcPr>
                  <w:tcW w:w="4470" w:type="pct"/>
                  <w:vAlign w:val="center"/>
                  <w:hideMark/>
                </w:tcPr>
                <w:p w:rsidR="004C355A" w:rsidRPr="004C355A" w:rsidRDefault="004C355A" w:rsidP="006072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spacing w:after="0" w:line="240" w:lineRule="atLeast"/>
                    <w:rPr>
                      <w:rFonts w:ascii="標楷體" w:eastAsia="標楷體" w:hAnsi="標楷體" w:cs="細明體"/>
                      <w:sz w:val="21"/>
                      <w:szCs w:val="21"/>
                    </w:rPr>
                  </w:pPr>
                  <w:r w:rsidRPr="004C355A">
                    <w:rPr>
                      <w:rFonts w:ascii="標楷體" w:eastAsia="標楷體" w:hAnsi="標楷體" w:cs="細明體" w:hint="eastAsia"/>
                      <w:sz w:val="21"/>
                      <w:szCs w:val="21"/>
                    </w:rPr>
                    <w:t>本條例自公布日施行。</w:t>
                  </w:r>
                </w:p>
              </w:tc>
            </w:tr>
          </w:tbl>
          <w:p w:rsidR="00857EF4" w:rsidRPr="004C355A" w:rsidRDefault="00857EF4" w:rsidP="00607205">
            <w:pPr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42B41" w:rsidRDefault="00342B41" w:rsidP="00515D48">
      <w:pPr>
        <w:rPr>
          <w:shd w:val="pct15" w:color="auto" w:fill="FFFFFF"/>
        </w:rPr>
      </w:pPr>
    </w:p>
    <w:sectPr w:rsidR="00342B41" w:rsidSect="00515D48">
      <w:pgSz w:w="12240" w:h="15840"/>
      <w:pgMar w:top="1134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3C" w:rsidRDefault="00610B3C" w:rsidP="004C355A">
      <w:pPr>
        <w:spacing w:after="0" w:line="240" w:lineRule="auto"/>
      </w:pPr>
      <w:r>
        <w:separator/>
      </w:r>
    </w:p>
  </w:endnote>
  <w:endnote w:type="continuationSeparator" w:id="0">
    <w:p w:rsidR="00610B3C" w:rsidRDefault="00610B3C" w:rsidP="004C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3C" w:rsidRDefault="00610B3C" w:rsidP="004C355A">
      <w:pPr>
        <w:spacing w:after="0" w:line="240" w:lineRule="auto"/>
      </w:pPr>
      <w:r>
        <w:separator/>
      </w:r>
    </w:p>
  </w:footnote>
  <w:footnote w:type="continuationSeparator" w:id="0">
    <w:p w:rsidR="00610B3C" w:rsidRDefault="00610B3C" w:rsidP="004C3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3379"/>
    <w:rsid w:val="000A1AC5"/>
    <w:rsid w:val="0011688E"/>
    <w:rsid w:val="00224D6D"/>
    <w:rsid w:val="00234CB7"/>
    <w:rsid w:val="002C5B15"/>
    <w:rsid w:val="002E3379"/>
    <w:rsid w:val="00342B41"/>
    <w:rsid w:val="0037162F"/>
    <w:rsid w:val="0039142B"/>
    <w:rsid w:val="00400266"/>
    <w:rsid w:val="00451BC4"/>
    <w:rsid w:val="004C355A"/>
    <w:rsid w:val="00515D48"/>
    <w:rsid w:val="00574981"/>
    <w:rsid w:val="00593393"/>
    <w:rsid w:val="00595A9B"/>
    <w:rsid w:val="00607205"/>
    <w:rsid w:val="00610B3C"/>
    <w:rsid w:val="00782545"/>
    <w:rsid w:val="007F040A"/>
    <w:rsid w:val="00827CF6"/>
    <w:rsid w:val="00857EF4"/>
    <w:rsid w:val="008726AA"/>
    <w:rsid w:val="008B2080"/>
    <w:rsid w:val="00A45486"/>
    <w:rsid w:val="00A766CD"/>
    <w:rsid w:val="00A968D2"/>
    <w:rsid w:val="00B702EB"/>
    <w:rsid w:val="00BA2956"/>
    <w:rsid w:val="00BA47C5"/>
    <w:rsid w:val="00C51E6E"/>
    <w:rsid w:val="00D66576"/>
    <w:rsid w:val="00E46BE9"/>
    <w:rsid w:val="00E94BED"/>
    <w:rsid w:val="00FF2E40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3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93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593393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5933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C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C355A"/>
  </w:style>
  <w:style w:type="paragraph" w:styleId="a7">
    <w:name w:val="footer"/>
    <w:basedOn w:val="a"/>
    <w:link w:val="a8"/>
    <w:uiPriority w:val="99"/>
    <w:semiHidden/>
    <w:unhideWhenUsed/>
    <w:rsid w:val="004C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C3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Single.aspx?Pcode=H0070002&amp;FLNO=1" TargetMode="External"/><Relationship Id="rId13" Type="http://schemas.openxmlformats.org/officeDocument/2006/relationships/hyperlink" Target="http://law.moj.gov.tw/LawClass/LawSingle.aspx?Pcode=H0070002&amp;FLNO=6" TargetMode="External"/><Relationship Id="rId18" Type="http://schemas.openxmlformats.org/officeDocument/2006/relationships/hyperlink" Target="http://law.moj.gov.tw/LawClass/LawSingle.aspx?Pcode=H0070002&amp;FLNO=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aw.moj.gov.tw/LawClass/LawSingle.aspx?Pcode=H0070002&amp;FLNO=13" TargetMode="External"/><Relationship Id="rId7" Type="http://schemas.openxmlformats.org/officeDocument/2006/relationships/hyperlink" Target="http://law.moj.gov.tw/Scripts/newsdetail.asp?no=1H0070002" TargetMode="External"/><Relationship Id="rId12" Type="http://schemas.openxmlformats.org/officeDocument/2006/relationships/hyperlink" Target="http://law.moj.gov.tw/LawClass/LawSingle.aspx?Pcode=H0070002&amp;FLNO=5" TargetMode="External"/><Relationship Id="rId17" Type="http://schemas.openxmlformats.org/officeDocument/2006/relationships/hyperlink" Target="http://law.moj.gov.tw/LawClass/LawSingle.aspx?Pcode=H0070002&amp;FLNO=9" TargetMode="External"/><Relationship Id="rId25" Type="http://schemas.openxmlformats.org/officeDocument/2006/relationships/hyperlink" Target="http://law.moj.gov.tw/LawClass/LawSingle.aspx?Pcode=H0070002&amp;FLNO=17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.moj.gov.tw/LawClass/LawSingle.aspx?Pcode=H0070002&amp;FLNO=8-1" TargetMode="External"/><Relationship Id="rId20" Type="http://schemas.openxmlformats.org/officeDocument/2006/relationships/hyperlink" Target="http://law.moj.gov.tw/LawClass/LawSingle.aspx?Pcode=H0070002&amp;FLNO=1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w.moj.gov.tw/LawClass/LawSingle.aspx?Pcode=H0070002&amp;FLNO=4" TargetMode="External"/><Relationship Id="rId24" Type="http://schemas.openxmlformats.org/officeDocument/2006/relationships/hyperlink" Target="http://law.moj.gov.tw/LawClass/LawSingle.aspx?Pcode=H0070002&amp;FLNO=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.moj.gov.tw/LawClass/LawSingle.aspx?Pcode=H0070002&amp;FLNO=8" TargetMode="External"/><Relationship Id="rId23" Type="http://schemas.openxmlformats.org/officeDocument/2006/relationships/hyperlink" Target="http://law.moj.gov.tw/LawClass/LawSingle.aspx?Pcode=H0070002&amp;FLNO=15" TargetMode="External"/><Relationship Id="rId10" Type="http://schemas.openxmlformats.org/officeDocument/2006/relationships/hyperlink" Target="http://law.moj.gov.tw/LawClass/LawSingle.aspx?Pcode=H0070002&amp;FLNO=3" TargetMode="External"/><Relationship Id="rId19" Type="http://schemas.openxmlformats.org/officeDocument/2006/relationships/hyperlink" Target="http://law.moj.gov.tw/LawClass/LawSingle.aspx?Pcode=H0070002&amp;FLNO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Single.aspx?Pcode=H0070002&amp;FLNO=2" TargetMode="External"/><Relationship Id="rId14" Type="http://schemas.openxmlformats.org/officeDocument/2006/relationships/hyperlink" Target="http://law.moj.gov.tw/LawClass/LawSingle.aspx?Pcode=H0070002&amp;FLNO=7" TargetMode="External"/><Relationship Id="rId22" Type="http://schemas.openxmlformats.org/officeDocument/2006/relationships/hyperlink" Target="http://law.moj.gov.tw/LawClass/LawSingle.aspx?Pcode=H0070002&amp;FLNO=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FEEDE-DE4F-461A-9181-BD1E5B15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2652</Characters>
  <Application>Microsoft Office Word</Application>
  <DocSecurity>0</DocSecurity>
  <Lines>22</Lines>
  <Paragraphs>6</Paragraphs>
  <ScaleCrop>false</ScaleCrop>
  <Company>Free Software</Company>
  <LinksUpToDate>false</LinksUpToDate>
  <CharactersWithSpaces>3111</CharactersWithSpaces>
  <SharedDoc>false</SharedDoc>
  <HLinks>
    <vt:vector size="108" baseType="variant">
      <vt:variant>
        <vt:i4>1310743</vt:i4>
      </vt:variant>
      <vt:variant>
        <vt:i4>51</vt:i4>
      </vt:variant>
      <vt:variant>
        <vt:i4>0</vt:i4>
      </vt:variant>
      <vt:variant>
        <vt:i4>5</vt:i4>
      </vt:variant>
      <vt:variant>
        <vt:lpwstr>http://law.moj.gov.tw/Scripts/Query1B.asp?no=1H007000217</vt:lpwstr>
      </vt:variant>
      <vt:variant>
        <vt:lpwstr/>
      </vt:variant>
      <vt:variant>
        <vt:i4>1376279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http://law.moj.gov.tw/Scripts/Query1B.asp?no=1H007000216</vt:lpwstr>
      </vt:variant>
      <vt:variant>
        <vt:lpwstr/>
      </vt:variant>
      <vt:variant>
        <vt:i4>1441815</vt:i4>
      </vt:variant>
      <vt:variant>
        <vt:i4>45</vt:i4>
      </vt:variant>
      <vt:variant>
        <vt:i4>0</vt:i4>
      </vt:variant>
      <vt:variant>
        <vt:i4>5</vt:i4>
      </vt:variant>
      <vt:variant>
        <vt:lpwstr>http://law.moj.gov.tw/Scripts/Query1B.asp?no=1H007000215</vt:lpwstr>
      </vt:variant>
      <vt:variant>
        <vt:lpwstr/>
      </vt:variant>
      <vt:variant>
        <vt:i4>1507351</vt:i4>
      </vt:variant>
      <vt:variant>
        <vt:i4>42</vt:i4>
      </vt:variant>
      <vt:variant>
        <vt:i4>0</vt:i4>
      </vt:variant>
      <vt:variant>
        <vt:i4>5</vt:i4>
      </vt:variant>
      <vt:variant>
        <vt:lpwstr>http://law.moj.gov.tw/Scripts/Query1B.asp?no=1H007000214</vt:lpwstr>
      </vt:variant>
      <vt:variant>
        <vt:lpwstr/>
      </vt:variant>
      <vt:variant>
        <vt:i4>1048599</vt:i4>
      </vt:variant>
      <vt:variant>
        <vt:i4>39</vt:i4>
      </vt:variant>
      <vt:variant>
        <vt:i4>0</vt:i4>
      </vt:variant>
      <vt:variant>
        <vt:i4>5</vt:i4>
      </vt:variant>
      <vt:variant>
        <vt:lpwstr>http://law.moj.gov.tw/Scripts/Query1B.asp?no=1H007000213</vt:lpwstr>
      </vt:variant>
      <vt:variant>
        <vt:lpwstr/>
      </vt:variant>
      <vt:variant>
        <vt:i4>1114135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http://law.moj.gov.tw/Scripts/Query1B.asp?no=1H007000212</vt:lpwstr>
      </vt:variant>
      <vt:variant>
        <vt:lpwstr/>
      </vt:variant>
      <vt:variant>
        <vt:i4>1179671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http://law.moj.gov.tw/Scripts/Query1B.asp?no=1H007000211</vt:lpwstr>
      </vt:variant>
      <vt:variant>
        <vt:lpwstr/>
      </vt:variant>
      <vt:variant>
        <vt:i4>1245207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http://law.moj.gov.tw/Scripts/Query1B.asp?no=1H007000210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http://law.moj.gov.tw/Scripts/Query1B.asp?no=1H00700029</vt:lpwstr>
      </vt:variant>
      <vt:variant>
        <vt:lpwstr/>
      </vt:variant>
      <vt:variant>
        <vt:i4>2293798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http://law.moj.gov.tw/Scripts/Query1B.asp?no=1H00700028</vt:lpwstr>
      </vt:variant>
      <vt:variant>
        <vt:lpwstr/>
      </vt:variant>
      <vt:variant>
        <vt:i4>2293798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http://law.moj.gov.tw/Scripts/Query1B.asp?no=1H00700027</vt:lpwstr>
      </vt:variant>
      <vt:variant>
        <vt:lpwstr/>
      </vt:variant>
      <vt:variant>
        <vt:i4>2293798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http://law.moj.gov.tw/Scripts/Query1B.asp?no=1H00700026</vt:lpwstr>
      </vt:variant>
      <vt:variant>
        <vt:lpwstr/>
      </vt:variant>
      <vt:variant>
        <vt:i4>2293798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http://law.moj.gov.tw/Scripts/Query1B.asp?no=1H00700025</vt:lpwstr>
      </vt:variant>
      <vt:variant>
        <vt:lpwstr/>
      </vt:variant>
      <vt:variant>
        <vt:i4>2293798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http://law.moj.gov.tw/Scripts/Query1B.asp?no=1H00700024</vt:lpwstr>
      </vt:variant>
      <vt:variant>
        <vt:lpwstr/>
      </vt:variant>
      <vt:variant>
        <vt:i4>2293798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http://law.moj.gov.tw/Scripts/Query1B.asp?no=1H00700023</vt:lpwstr>
      </vt:variant>
      <vt:variant>
        <vt:lpwstr/>
      </vt:variant>
      <vt:variant>
        <vt:i4>2293798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http://law.moj.gov.tw/Scripts/Query1B.asp?no=1H00700022</vt:lpwstr>
      </vt:variant>
      <vt:variant>
        <vt:lpwstr/>
      </vt:variant>
      <vt:variant>
        <vt:i4>2293798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http://law.moj.gov.tw/Scripts/Query1B.asp?no=1H00700021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http://law.moj.gov.tw/Scripts/newsdetail.asp?no=1H0070002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強迫入學條例</dc:title>
  <dc:creator>Virtual PC</dc:creator>
  <cp:lastModifiedBy>army</cp:lastModifiedBy>
  <cp:revision>10</cp:revision>
  <cp:lastPrinted>2007-08-03T08:18:00Z</cp:lastPrinted>
  <dcterms:created xsi:type="dcterms:W3CDTF">2012-08-09T06:45:00Z</dcterms:created>
  <dcterms:modified xsi:type="dcterms:W3CDTF">2017-08-02T23:54:00Z</dcterms:modified>
</cp:coreProperties>
</file>